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DAD" w:rsidRDefault="002B572D">
      <w:pPr>
        <w:pStyle w:val="a3"/>
        <w:tabs>
          <w:tab w:val="clear" w:pos="4252"/>
          <w:tab w:val="clear" w:pos="8504"/>
        </w:tabs>
        <w:snapToGrid/>
        <w:rPr>
          <w:rFonts w:ascii="ＭＳ Ｐゴシック" w:eastAsia="ＭＳ Ｐゴシック" w:hAnsi="ＭＳ Ｐゴシック" w:hint="eastAsia"/>
        </w:rPr>
      </w:pPr>
      <w:r>
        <w:rPr>
          <w:rFonts w:ascii="ＭＳ Ｐゴシック" w:eastAsia="ＭＳ Ｐゴシック" w:hAnsi="ＭＳ Ｐゴシック"/>
          <w:noProof/>
        </w:rPr>
        <mc:AlternateContent>
          <mc:Choice Requires="wps">
            <w:drawing>
              <wp:anchor distT="0" distB="0" distL="114300" distR="114300" simplePos="0" relativeHeight="251657728" behindDoc="0" locked="0" layoutInCell="1" allowOverlap="0">
                <wp:simplePos x="0" y="0"/>
                <wp:positionH relativeFrom="column">
                  <wp:posOffset>19685</wp:posOffset>
                </wp:positionH>
                <wp:positionV relativeFrom="paragraph">
                  <wp:posOffset>81280</wp:posOffset>
                </wp:positionV>
                <wp:extent cx="5303520" cy="1480185"/>
                <wp:effectExtent l="0" t="0" r="11430" b="2476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148018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2B572D" w:rsidRPr="002B572D" w:rsidRDefault="00DA307E" w:rsidP="002B572D">
                            <w:pPr>
                              <w:jc w:val="left"/>
                              <w:rPr>
                                <w:rFonts w:hint="eastAsia"/>
                                <w:b/>
                                <w:sz w:val="24"/>
                              </w:rPr>
                            </w:pPr>
                            <w:r>
                              <w:rPr>
                                <w:rFonts w:hint="eastAsia"/>
                                <w:b/>
                                <w:sz w:val="24"/>
                              </w:rPr>
                              <w:t>【原稿の種別：</w:t>
                            </w:r>
                            <w:bookmarkStart w:id="0" w:name="_GoBack"/>
                            <w:bookmarkEnd w:id="0"/>
                            <w:r>
                              <w:rPr>
                                <w:rFonts w:hint="eastAsia"/>
                                <w:b/>
                                <w:sz w:val="24"/>
                              </w:rPr>
                              <w:t>論文</w:t>
                            </w:r>
                            <w:r>
                              <w:rPr>
                                <w:rFonts w:hint="eastAsia"/>
                                <w:b/>
                                <w:sz w:val="24"/>
                              </w:rPr>
                              <w:t>/</w:t>
                            </w:r>
                            <w:r>
                              <w:rPr>
                                <w:rFonts w:hint="eastAsia"/>
                                <w:b/>
                                <w:sz w:val="24"/>
                              </w:rPr>
                              <w:t>書評など】</w:t>
                            </w:r>
                          </w:p>
                          <w:p w:rsidR="00077DAD" w:rsidRDefault="00077DAD">
                            <w:pPr>
                              <w:jc w:val="center"/>
                              <w:rPr>
                                <w:rFonts w:hint="eastAsia"/>
                                <w:b/>
                                <w:sz w:val="36"/>
                                <w:szCs w:val="36"/>
                              </w:rPr>
                            </w:pPr>
                            <w:r>
                              <w:rPr>
                                <w:rFonts w:hint="eastAsia"/>
                                <w:b/>
                                <w:sz w:val="36"/>
                                <w:szCs w:val="36"/>
                              </w:rPr>
                              <w:t>唯物論研究協会シンポジウム報告</w:t>
                            </w:r>
                          </w:p>
                          <w:p w:rsidR="00077DAD" w:rsidRDefault="00077DAD">
                            <w:pPr>
                              <w:jc w:val="center"/>
                              <w:rPr>
                                <w:rFonts w:ascii="ＭＳ 明朝" w:hAnsi="ＭＳ 明朝" w:hint="eastAsia"/>
                                <w:sz w:val="24"/>
                              </w:rPr>
                            </w:pPr>
                            <w:r>
                              <w:rPr>
                                <w:rFonts w:ascii="ＭＳ 明朝" w:hAnsi="ＭＳ 明朝" w:hint="eastAsia"/>
                                <w:sz w:val="24"/>
                              </w:rPr>
                              <w:t>―これは副題[明朝12ポ]―</w:t>
                            </w:r>
                          </w:p>
                          <w:p w:rsidR="00077DAD" w:rsidRPr="00DA307E" w:rsidRDefault="00077DAD">
                            <w:pPr>
                              <w:jc w:val="center"/>
                              <w:rPr>
                                <w:rFonts w:hint="eastAsia"/>
                                <w:sz w:val="21"/>
                                <w:szCs w:val="21"/>
                              </w:rPr>
                            </w:pPr>
                          </w:p>
                          <w:p w:rsidR="00077DAD" w:rsidRDefault="00077DAD">
                            <w:pPr>
                              <w:jc w:val="center"/>
                              <w:rPr>
                                <w:sz w:val="24"/>
                              </w:rPr>
                            </w:pPr>
                            <w:r>
                              <w:rPr>
                                <w:rFonts w:ascii="ＭＳ 明朝" w:hAnsi="ＭＳ 明朝" w:hint="eastAsia"/>
                                <w:sz w:val="24"/>
                              </w:rPr>
                              <w:t xml:space="preserve">            唯 物  論 子[明朝12] </w:t>
                            </w:r>
                            <w:r>
                              <w:rPr>
                                <w:rFonts w:hint="eastAsia"/>
                                <w:sz w:val="24"/>
                              </w:rPr>
                              <w:t xml:space="preserve"> YUIBUTSU, Ronko[Times New Roman12</w:t>
                            </w:r>
                            <w:r>
                              <w:rPr>
                                <w:rFonts w:hint="eastAsia"/>
                                <w:sz w:val="24"/>
                              </w:rPr>
                              <w:t>ポ</w:t>
                            </w:r>
                            <w:r>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5pt;margin-top:6.4pt;width:417.6pt;height:1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" o:allowoverlap="f" filled="f">
                <v:stroke dashstyle="dash"/>
                <v:textbox inset="5.85pt,.7pt,5.85pt,.7pt">
                  <w:txbxContent>
                    <w:p w:rsidR="002B572D" w:rsidRPr="002B572D" w:rsidRDefault="00DA307E" w:rsidP="002B572D">
                      <w:pPr>
                        <w:jc w:val="left"/>
                        <w:rPr>
                          <w:rFonts w:hint="eastAsia"/>
                          <w:b/>
                          <w:sz w:val="24"/>
                        </w:rPr>
                      </w:pPr>
                      <w:r>
                        <w:rPr>
                          <w:rFonts w:hint="eastAsia"/>
                          <w:b/>
                          <w:sz w:val="24"/>
                        </w:rPr>
                        <w:t>【原稿の種別：</w:t>
                      </w:r>
                      <w:bookmarkStart w:id="1" w:name="_GoBack"/>
                      <w:bookmarkEnd w:id="1"/>
                      <w:r>
                        <w:rPr>
                          <w:rFonts w:hint="eastAsia"/>
                          <w:b/>
                          <w:sz w:val="24"/>
                        </w:rPr>
                        <w:t>論文</w:t>
                      </w:r>
                      <w:r>
                        <w:rPr>
                          <w:rFonts w:hint="eastAsia"/>
                          <w:b/>
                          <w:sz w:val="24"/>
                        </w:rPr>
                        <w:t>/</w:t>
                      </w:r>
                      <w:r>
                        <w:rPr>
                          <w:rFonts w:hint="eastAsia"/>
                          <w:b/>
                          <w:sz w:val="24"/>
                        </w:rPr>
                        <w:t>書評など】</w:t>
                      </w:r>
                    </w:p>
                    <w:p w:rsidR="00077DAD" w:rsidRDefault="00077DAD">
                      <w:pPr>
                        <w:jc w:val="center"/>
                        <w:rPr>
                          <w:rFonts w:hint="eastAsia"/>
                          <w:b/>
                          <w:sz w:val="36"/>
                          <w:szCs w:val="36"/>
                        </w:rPr>
                      </w:pPr>
                      <w:r>
                        <w:rPr>
                          <w:rFonts w:hint="eastAsia"/>
                          <w:b/>
                          <w:sz w:val="36"/>
                          <w:szCs w:val="36"/>
                        </w:rPr>
                        <w:t>唯物論研究協会シンポジウム報告</w:t>
                      </w:r>
                    </w:p>
                    <w:p w:rsidR="00077DAD" w:rsidRDefault="00077DAD">
                      <w:pPr>
                        <w:jc w:val="center"/>
                        <w:rPr>
                          <w:rFonts w:ascii="ＭＳ 明朝" w:hAnsi="ＭＳ 明朝" w:hint="eastAsia"/>
                          <w:sz w:val="24"/>
                        </w:rPr>
                      </w:pPr>
                      <w:r>
                        <w:rPr>
                          <w:rFonts w:ascii="ＭＳ 明朝" w:hAnsi="ＭＳ 明朝" w:hint="eastAsia"/>
                          <w:sz w:val="24"/>
                        </w:rPr>
                        <w:t>―これは副題[明朝12ポ]―</w:t>
                      </w:r>
                    </w:p>
                    <w:p w:rsidR="00077DAD" w:rsidRPr="00DA307E" w:rsidRDefault="00077DAD">
                      <w:pPr>
                        <w:jc w:val="center"/>
                        <w:rPr>
                          <w:rFonts w:hint="eastAsia"/>
                          <w:sz w:val="21"/>
                          <w:szCs w:val="21"/>
                        </w:rPr>
                      </w:pPr>
                    </w:p>
                    <w:p w:rsidR="00077DAD" w:rsidRDefault="00077DAD">
                      <w:pPr>
                        <w:jc w:val="center"/>
                        <w:rPr>
                          <w:sz w:val="24"/>
                        </w:rPr>
                      </w:pPr>
                      <w:r>
                        <w:rPr>
                          <w:rFonts w:ascii="ＭＳ 明朝" w:hAnsi="ＭＳ 明朝" w:hint="eastAsia"/>
                          <w:sz w:val="24"/>
                        </w:rPr>
                        <w:t xml:space="preserve">            唯 物  論 子[明朝12] </w:t>
                      </w:r>
                      <w:r>
                        <w:rPr>
                          <w:rFonts w:hint="eastAsia"/>
                          <w:sz w:val="24"/>
                        </w:rPr>
                        <w:t xml:space="preserve"> YUIBUTSU, Ronko[Times New Roman12</w:t>
                      </w:r>
                      <w:r>
                        <w:rPr>
                          <w:rFonts w:hint="eastAsia"/>
                          <w:sz w:val="24"/>
                        </w:rPr>
                        <w:t>ポ</w:t>
                      </w:r>
                      <w:r>
                        <w:rPr>
                          <w:rFonts w:hint="eastAsia"/>
                          <w:sz w:val="24"/>
                        </w:rPr>
                        <w:t>]</w:t>
                      </w:r>
                    </w:p>
                  </w:txbxContent>
                </v:textbox>
                <w10:wrap type="square"/>
              </v:shape>
            </w:pict>
          </mc:Fallback>
        </mc:AlternateContent>
      </w:r>
      <w:r w:rsidR="00077DAD">
        <w:rPr>
          <w:rFonts w:ascii="ＭＳ Ｐゴシック" w:eastAsia="ＭＳ Ｐゴシック" w:hAnsi="ＭＳ Ｐゴシック" w:hint="eastAsia"/>
        </w:rPr>
        <w:t xml:space="preserve"> </w:t>
      </w:r>
    </w:p>
    <w:p w:rsidR="00077DAD" w:rsidRPr="00B6448B" w:rsidRDefault="00077DAD">
      <w:pPr>
        <w:pStyle w:val="1"/>
        <w:rPr>
          <w:rFonts w:hint="eastAsia"/>
          <w:b w:val="0"/>
        </w:rPr>
      </w:pPr>
      <w:r w:rsidRPr="00B6448B">
        <w:rPr>
          <w:rFonts w:hint="eastAsia"/>
          <w:b w:val="0"/>
        </w:rPr>
        <w:t>はじめに</w:t>
      </w:r>
    </w:p>
    <w:p w:rsidR="00077DAD" w:rsidRDefault="00077DAD">
      <w:pPr>
        <w:ind w:firstLineChars="100" w:firstLine="182"/>
        <w:rPr>
          <w:rFonts w:hint="eastAsia"/>
        </w:rPr>
      </w:pPr>
      <w:r>
        <w:rPr>
          <w:rFonts w:hint="eastAsia"/>
        </w:rPr>
        <w:t>これは《唯研電子ジャーナル》のスタイル・ファイルです。</w:t>
      </w:r>
    </w:p>
    <w:p w:rsidR="00077DAD" w:rsidRDefault="00077DAD">
      <w:pPr>
        <w:pStyle w:val="a3"/>
        <w:rPr>
          <w:rFonts w:hint="eastAsia"/>
        </w:rPr>
      </w:pPr>
      <w:r>
        <w:rPr>
          <w:rFonts w:hint="eastAsia"/>
        </w:rPr>
        <w:t>この電子</w:t>
      </w:r>
      <w:r>
        <w:rPr>
          <w:rFonts w:eastAsia="ＭＳ Ｐ明朝" w:hint="eastAsia"/>
          <w:sz w:val="18"/>
        </w:rPr>
        <w:t>ジャーナル用</w:t>
      </w:r>
      <w:r>
        <w:rPr>
          <w:rFonts w:hint="eastAsia"/>
        </w:rPr>
        <w:t>原稿を仕上げていただくためには、このスタイルファイルにそのままタイトル、章、本文、注などを流し込んでもらえればいいわけですが、基本的な設定を説明しておきます。編集の手間をできるだけ少なくなるよう、ご協力をよろしくお願いします。</w:t>
      </w:r>
    </w:p>
    <w:p w:rsidR="00077DAD" w:rsidRDefault="00077DAD">
      <w:pPr>
        <w:rPr>
          <w:rFonts w:ascii="ＭＳ Ｐゴシック" w:eastAsia="ＭＳ Ｐゴシック" w:hAnsi="ＭＳ Ｐゴシック" w:hint="eastAsia"/>
        </w:rPr>
      </w:pPr>
    </w:p>
    <w:p w:rsidR="00077DAD" w:rsidRPr="00B6448B" w:rsidRDefault="00077DAD">
      <w:pPr>
        <w:pStyle w:val="1"/>
        <w:rPr>
          <w:rFonts w:hint="eastAsia"/>
          <w:b w:val="0"/>
        </w:rPr>
      </w:pPr>
      <w:r w:rsidRPr="00B6448B">
        <w:rPr>
          <w:rFonts w:hint="eastAsia"/>
          <w:b w:val="0"/>
        </w:rPr>
        <w:t>I</w:t>
      </w:r>
      <w:r w:rsidRPr="00B6448B">
        <w:rPr>
          <w:rFonts w:hint="eastAsia"/>
          <w:b w:val="0"/>
        </w:rPr>
        <w:t xml:space="preserve">　文字フォントと大きさ等</w:t>
      </w:r>
      <w:r w:rsidRPr="00B6448B">
        <w:rPr>
          <w:rFonts w:hint="eastAsia"/>
          <w:b w:val="0"/>
        </w:rPr>
        <w:t xml:space="preserve"> </w:t>
      </w:r>
    </w:p>
    <w:p w:rsidR="00077DAD" w:rsidRDefault="00077DAD">
      <w:pPr>
        <w:ind w:firstLineChars="100" w:firstLine="182"/>
        <w:rPr>
          <w:rFonts w:hint="eastAsia"/>
        </w:rPr>
      </w:pPr>
      <w:r>
        <w:rPr>
          <w:rFonts w:hint="eastAsia"/>
        </w:rPr>
        <w:t>本文は日本語は</w:t>
      </w:r>
      <w:r>
        <w:rPr>
          <w:rFonts w:hint="eastAsia"/>
        </w:rPr>
        <w:t>10</w:t>
      </w:r>
      <w:r>
        <w:rPr>
          <w:rFonts w:hint="eastAsia"/>
        </w:rPr>
        <w:t>ポ明朝。ローマ字は</w:t>
      </w:r>
      <w:r>
        <w:rPr>
          <w:rFonts w:hint="eastAsia"/>
        </w:rPr>
        <w:t>Times New Roman</w:t>
      </w:r>
      <w:r>
        <w:rPr>
          <w:rFonts w:hint="eastAsia"/>
        </w:rPr>
        <w:t>系のものを使用してください。</w:t>
      </w:r>
    </w:p>
    <w:p w:rsidR="00077DAD" w:rsidRDefault="00077DAD">
      <w:pPr>
        <w:rPr>
          <w:rFonts w:hint="eastAsia"/>
        </w:rPr>
      </w:pPr>
      <w:r>
        <w:rPr>
          <w:rFonts w:hint="eastAsia"/>
        </w:rPr>
        <w:t>見出しは</w:t>
      </w:r>
      <w:r>
        <w:rPr>
          <w:rFonts w:hint="eastAsia"/>
        </w:rPr>
        <w:t>10</w:t>
      </w:r>
      <w:r>
        <w:rPr>
          <w:rFonts w:hint="eastAsia"/>
        </w:rPr>
        <w:t>ポのゴチック</w:t>
      </w:r>
      <w:r w:rsidR="00B6448B">
        <w:rPr>
          <w:rFonts w:hint="eastAsia"/>
        </w:rPr>
        <w:t>太字</w:t>
      </w:r>
      <w:r>
        <w:rPr>
          <w:rFonts w:hint="eastAsia"/>
        </w:rPr>
        <w:t>です。下位の見出しを設けるときも基本的にゴチックを使用してください。</w:t>
      </w:r>
    </w:p>
    <w:p w:rsidR="00077DAD" w:rsidRDefault="00077DAD">
      <w:pPr>
        <w:ind w:firstLineChars="100" w:firstLine="182"/>
        <w:rPr>
          <w:rFonts w:hint="eastAsia"/>
        </w:rPr>
      </w:pPr>
      <w:r>
        <w:rPr>
          <w:rFonts w:hint="eastAsia"/>
        </w:rPr>
        <w:t>タイトルは</w:t>
      </w:r>
      <w:r>
        <w:rPr>
          <w:rFonts w:hint="eastAsia"/>
        </w:rPr>
        <w:t>18</w:t>
      </w:r>
      <w:r>
        <w:rPr>
          <w:rFonts w:hint="eastAsia"/>
        </w:rPr>
        <w:t>ポ明朝太字、長いタイトルの場合は小さいポイントにしても結構です。副題がある場合には</w:t>
      </w:r>
      <w:r>
        <w:rPr>
          <w:rFonts w:hint="eastAsia"/>
        </w:rPr>
        <w:t>12</w:t>
      </w:r>
      <w:r>
        <w:rPr>
          <w:rFonts w:hint="eastAsia"/>
        </w:rPr>
        <w:t>ポ明朝を使用してください。</w:t>
      </w:r>
    </w:p>
    <w:p w:rsidR="00077DAD" w:rsidRDefault="00077DAD">
      <w:pPr>
        <w:ind w:firstLineChars="100" w:firstLine="182"/>
        <w:rPr>
          <w:rFonts w:hint="eastAsia"/>
        </w:rPr>
      </w:pPr>
      <w:r>
        <w:rPr>
          <w:rFonts w:hint="eastAsia"/>
        </w:rPr>
        <w:t>氏名は明朝</w:t>
      </w:r>
      <w:r>
        <w:rPr>
          <w:rFonts w:hint="eastAsia"/>
        </w:rPr>
        <w:t>12</w:t>
      </w:r>
      <w:r>
        <w:rPr>
          <w:rFonts w:hint="eastAsia"/>
        </w:rPr>
        <w:t>ポ、半角スペースひとつあけてローマ字で氏名を</w:t>
      </w:r>
      <w:r>
        <w:rPr>
          <w:rFonts w:hint="eastAsia"/>
        </w:rPr>
        <w:t>Times New Roman 12</w:t>
      </w:r>
      <w:r>
        <w:rPr>
          <w:rFonts w:hint="eastAsia"/>
        </w:rPr>
        <w:t>ポで。苗字は全て大文字にしてください。</w:t>
      </w:r>
    </w:p>
    <w:p w:rsidR="00077DAD" w:rsidRDefault="00077DAD">
      <w:pPr>
        <w:pStyle w:val="a5"/>
        <w:rPr>
          <w:rFonts w:ascii="Times New Roman" w:hAnsi="Times New Roman" w:hint="eastAsia"/>
        </w:rPr>
      </w:pPr>
      <w:r>
        <w:rPr>
          <w:rFonts w:ascii="Times New Roman" w:hAnsi="Times New Roman" w:hint="eastAsia"/>
        </w:rPr>
        <w:t>タイトル、氏名を囲んでいる点線の枠線は、レイアウト枠を使用していることを示すためのもので、出版時には除去します。</w:t>
      </w:r>
    </w:p>
    <w:p w:rsidR="00077DAD" w:rsidRDefault="00077DAD">
      <w:pPr>
        <w:ind w:firstLineChars="100" w:firstLine="182"/>
        <w:rPr>
          <w:rFonts w:hint="eastAsia"/>
        </w:rPr>
      </w:pPr>
    </w:p>
    <w:p w:rsidR="00077DAD" w:rsidRDefault="00077DAD">
      <w:pPr>
        <w:rPr>
          <w:rFonts w:ascii="ＭＳ Ｐゴシック" w:eastAsia="ＭＳ Ｐゴシック" w:hAnsi="ＭＳ Ｐゴシック" w:hint="eastAsia"/>
        </w:rPr>
      </w:pPr>
      <w:r>
        <w:rPr>
          <w:rFonts w:ascii="ＭＳ Ｐゴシック" w:eastAsia="ＭＳ Ｐゴシック" w:hAnsi="ＭＳ Ｐゴシック" w:hint="eastAsia"/>
        </w:rPr>
        <w:t>II ページ設定</w:t>
      </w:r>
    </w:p>
    <w:p w:rsidR="00077DAD" w:rsidRDefault="00077DAD">
      <w:pPr>
        <w:ind w:firstLineChars="100" w:firstLine="182"/>
        <w:rPr>
          <w:rFonts w:hint="eastAsia"/>
        </w:rPr>
      </w:pPr>
      <w:r>
        <w:rPr>
          <w:rFonts w:hint="eastAsia"/>
        </w:rPr>
        <w:t>ページは余白が上・左・右が各</w:t>
      </w:r>
      <w:r>
        <w:rPr>
          <w:rFonts w:hint="eastAsia"/>
        </w:rPr>
        <w:t>30</w:t>
      </w:r>
      <w:r>
        <w:rPr>
          <w:rFonts w:hint="eastAsia"/>
        </w:rPr>
        <w:t>ミリ、下が</w:t>
      </w:r>
      <w:r>
        <w:rPr>
          <w:rFonts w:hint="eastAsia"/>
        </w:rPr>
        <w:t>20</w:t>
      </w:r>
      <w:r>
        <w:rPr>
          <w:rFonts w:hint="eastAsia"/>
        </w:rPr>
        <w:t>ミリ。</w:t>
      </w:r>
      <w:r>
        <w:rPr>
          <w:rFonts w:hint="eastAsia"/>
        </w:rPr>
        <w:t>1</w:t>
      </w:r>
      <w:r>
        <w:rPr>
          <w:rFonts w:hint="eastAsia"/>
        </w:rPr>
        <w:t>行</w:t>
      </w:r>
      <w:r>
        <w:rPr>
          <w:rFonts w:hint="eastAsia"/>
        </w:rPr>
        <w:t>22</w:t>
      </w:r>
      <w:r>
        <w:rPr>
          <w:rFonts w:hint="eastAsia"/>
        </w:rPr>
        <w:t>字の</w:t>
      </w:r>
      <w:r>
        <w:rPr>
          <w:rFonts w:hint="eastAsia"/>
        </w:rPr>
        <w:t>42</w:t>
      </w:r>
      <w:r>
        <w:rPr>
          <w:rFonts w:hint="eastAsia"/>
        </w:rPr>
        <w:t>行の</w:t>
      </w:r>
      <w:r>
        <w:rPr>
          <w:rFonts w:hint="eastAsia"/>
        </w:rPr>
        <w:t>2</w:t>
      </w:r>
      <w:r>
        <w:rPr>
          <w:rFonts w:hint="eastAsia"/>
        </w:rPr>
        <w:t>段組です（このページはタイトルがありますから、行数は違っています）。</w:t>
      </w:r>
    </w:p>
    <w:p w:rsidR="00077DAD" w:rsidRDefault="00077DAD">
      <w:pPr>
        <w:ind w:firstLineChars="100" w:firstLine="182"/>
        <w:rPr>
          <w:rFonts w:hint="eastAsia"/>
        </w:rPr>
      </w:pPr>
      <w:r>
        <w:rPr>
          <w:rFonts w:hint="eastAsia"/>
        </w:rPr>
        <w:t>ヘッダー、フッターは、こちらで処理します。ページは当然、号ごとの通し番号に変わります。</w:t>
      </w:r>
    </w:p>
    <w:p w:rsidR="00077DAD" w:rsidRDefault="00077DAD">
      <w:pPr>
        <w:ind w:firstLineChars="100" w:firstLine="182"/>
        <w:rPr>
          <w:rFonts w:hint="eastAsia"/>
        </w:rPr>
      </w:pPr>
      <w:r>
        <w:rPr>
          <w:rFonts w:hint="eastAsia"/>
        </w:rPr>
        <w:t>注と参考文献は</w:t>
      </w:r>
      <w:r>
        <w:rPr>
          <w:rFonts w:hint="eastAsia"/>
        </w:rPr>
        <w:t>9</w:t>
      </w:r>
      <w:r>
        <w:rPr>
          <w:rFonts w:hint="eastAsia"/>
        </w:rPr>
        <w:t>ポイント。形式は各自お任せします。以下、ダミーの文を挿入します。参考にしてください。内容はこの文書とは無関係です。</w:t>
      </w:r>
    </w:p>
    <w:p w:rsidR="00077DAD" w:rsidRDefault="00077DAD">
      <w:pPr>
        <w:ind w:firstLineChars="100" w:firstLine="182"/>
        <w:rPr>
          <w:rFonts w:hint="eastAsia"/>
        </w:rPr>
      </w:pPr>
      <w:r>
        <w:rPr>
          <w:rFonts w:hint="eastAsia"/>
        </w:rPr>
        <w:t>その他、細かい点は各自にお任せしますが、他の原稿との関係等を考えてこちらで修整したり、修整をお願いすることがありうることをご承知おきください。</w:t>
      </w:r>
    </w:p>
    <w:p w:rsidR="00077DAD" w:rsidRDefault="00077DAD">
      <w:pPr>
        <w:rPr>
          <w:rFonts w:hint="eastAsia"/>
        </w:rPr>
      </w:pPr>
    </w:p>
    <w:p w:rsidR="00077DAD" w:rsidRPr="00B6448B" w:rsidRDefault="00077DAD">
      <w:pPr>
        <w:pStyle w:val="1"/>
        <w:rPr>
          <w:rFonts w:ascii="ＭＳ Ｐゴシック" w:hAnsi="ＭＳ Ｐゴシック" w:hint="eastAsia"/>
          <w:b w:val="0"/>
        </w:rPr>
      </w:pPr>
      <w:r w:rsidRPr="00B6448B">
        <w:rPr>
          <w:rFonts w:ascii="ＭＳ Ｐゴシック" w:hAnsi="ＭＳ Ｐゴシック" w:hint="eastAsia"/>
          <w:b w:val="0"/>
        </w:rPr>
        <w:t>III　体系と反-体系―問題の所在</w:t>
      </w:r>
    </w:p>
    <w:p w:rsidR="00077DAD" w:rsidRDefault="00077DAD">
      <w:pPr>
        <w:ind w:firstLineChars="100" w:firstLine="182"/>
        <w:rPr>
          <w:rFonts w:hint="eastAsia"/>
        </w:rPr>
      </w:pPr>
      <w:r>
        <w:rPr>
          <w:rFonts w:hint="eastAsia"/>
        </w:rPr>
        <w:t>本稿は、初期ベンヤミンの体系に関する思想についての考察である。</w:t>
      </w:r>
    </w:p>
    <w:p w:rsidR="00077DAD" w:rsidRDefault="00077DAD">
      <w:pPr>
        <w:ind w:firstLineChars="100" w:firstLine="182"/>
        <w:rPr>
          <w:rFonts w:hint="eastAsia"/>
        </w:rPr>
      </w:pPr>
      <w:r>
        <w:rPr>
          <w:rFonts w:hint="eastAsia"/>
        </w:rPr>
        <w:t>哲学の歴史において体系の要求と、体系に対する批判は繰り返し主題とされてきた。体系を志向する哲学と体系批判の哲学は、時代によって攻守の関係を取り換えあってきた。</w:t>
      </w:r>
    </w:p>
    <w:p w:rsidR="00077DAD" w:rsidRDefault="00077DAD">
      <w:pPr>
        <w:ind w:firstLineChars="100" w:firstLine="182"/>
        <w:rPr>
          <w:rFonts w:hint="eastAsia"/>
        </w:rPr>
      </w:pPr>
      <w:r>
        <w:rPr>
          <w:rFonts w:hint="eastAsia"/>
        </w:rPr>
        <w:t>近代哲学の一方の端緒に位置するフランシス･ベーコンは学問の大革新をめざし、旧時代の知であるスコラ学の《体系》性について攻撃を加え、自らはアフォリズムのスタイルを選んだ</w:t>
      </w:r>
      <w:r>
        <w:rPr>
          <w:rStyle w:val="a8"/>
        </w:rPr>
        <w:footnoteReference w:id="1"/>
      </w:r>
      <w:r>
        <w:rPr>
          <w:rFonts w:hint="eastAsia"/>
        </w:rPr>
        <w:t>。ヘーゲルが「学の体系第一部」と銘打った『精神現象学』において「真理が現実存在する真の姿は、真理の学的体系以外にありえない」と述べ、独自の哲学体系を構築しようとしたことはあまりにも有名である</w:t>
      </w:r>
      <w:r>
        <w:rPr>
          <w:rFonts w:hint="eastAsia"/>
        </w:rPr>
        <w:t xml:space="preserve"> [Hegel 1970 14] </w:t>
      </w:r>
      <w:r>
        <w:rPr>
          <w:rFonts w:hint="eastAsia"/>
        </w:rPr>
        <w:t>。</w:t>
      </w:r>
    </w:p>
    <w:p w:rsidR="00077DAD" w:rsidRDefault="00077DAD">
      <w:pPr>
        <w:ind w:firstLineChars="100" w:firstLine="182"/>
        <w:rPr>
          <w:rFonts w:hint="eastAsia"/>
        </w:rPr>
      </w:pPr>
      <w:r>
        <w:rPr>
          <w:rFonts w:hint="eastAsia"/>
        </w:rPr>
        <w:t>ヘーゲル派の体系的哲学がその影響力を失って後、</w:t>
      </w:r>
      <w:r>
        <w:rPr>
          <w:rFonts w:hint="eastAsia"/>
        </w:rPr>
        <w:t>19</w:t>
      </w:r>
      <w:r>
        <w:rPr>
          <w:rFonts w:hint="eastAsia"/>
        </w:rPr>
        <w:t>世紀末から</w:t>
      </w:r>
      <w:r>
        <w:rPr>
          <w:rFonts w:hint="eastAsia"/>
        </w:rPr>
        <w:t>20</w:t>
      </w:r>
      <w:r>
        <w:rPr>
          <w:rFonts w:hint="eastAsia"/>
        </w:rPr>
        <w:t>世紀初頭にかけては、おそらくニーチェの影響の拡がりにより（少なくともスタイル上の）反体系的思考と、かたや新カント派による体系的思想が拮抗していた時代だといえる。</w:t>
      </w:r>
    </w:p>
    <w:p w:rsidR="00077DAD" w:rsidRDefault="00077DAD">
      <w:pPr>
        <w:rPr>
          <w:rFonts w:hint="eastAsia"/>
        </w:rPr>
      </w:pPr>
      <w:r>
        <w:rPr>
          <w:rFonts w:hint="eastAsia"/>
        </w:rPr>
        <w:t xml:space="preserve">　「私はあらゆる体系家も信用しない。私は彼ら</w:t>
      </w:r>
      <w:r>
        <w:rPr>
          <w:rFonts w:hint="eastAsia"/>
        </w:rPr>
        <w:lastRenderedPageBreak/>
        <w:t>を避ける。体系への意志とは誠実さの欠如である」。新カント派の代表者のひとりリッケルトは</w:t>
      </w:r>
      <w:r>
        <w:rPr>
          <w:rFonts w:hint="eastAsia"/>
        </w:rPr>
        <w:t>1913</w:t>
      </w:r>
      <w:r>
        <w:rPr>
          <w:rFonts w:hint="eastAsia"/>
        </w:rPr>
        <w:t>年、雑誌『ロゴス』に掲載された『諸価値の体系』の冒頭にニーチェのこのことばを置き、哲学が他のあらゆる文化同様、発展しつづけるものである以上、「体系へ意志」は認識の進歩をみとめない「偏狭な精神のしるし」である、という一般的見解をそれなりに受け止める。そのうえでなおかつ、彼は「完結した</w:t>
      </w:r>
      <w:r>
        <w:rPr>
          <w:rFonts w:hint="eastAsia"/>
        </w:rPr>
        <w:t>=</w:t>
      </w:r>
      <w:r>
        <w:rPr>
          <w:rFonts w:hint="eastAsia"/>
        </w:rPr>
        <w:t>閉じた</w:t>
      </w:r>
      <w:r>
        <w:rPr>
          <w:rFonts w:hint="eastAsia"/>
        </w:rPr>
        <w:t>geschlossen</w:t>
      </w:r>
      <w:r>
        <w:rPr>
          <w:rFonts w:hint="eastAsia"/>
        </w:rPr>
        <w:t>」体系でなく、「開かれた体系」を、つまり将来の具体的発展をも内に包摂しうるような、形式的規定に着目した諸価値の体系を構想した</w:t>
      </w:r>
      <w:r>
        <w:rPr>
          <w:rStyle w:val="a8"/>
        </w:rPr>
        <w:footnoteReference w:id="2"/>
      </w:r>
      <w:r>
        <w:rPr>
          <w:rFonts w:hint="eastAsia"/>
        </w:rPr>
        <w:t xml:space="preserve"> [Rickert 1913]</w:t>
      </w:r>
      <w:r>
        <w:rPr>
          <w:rFonts w:hint="eastAsia"/>
        </w:rPr>
        <w:t>。</w:t>
      </w:r>
    </w:p>
    <w:p w:rsidR="00077DAD" w:rsidRDefault="00077DAD">
      <w:pPr>
        <w:rPr>
          <w:rFonts w:hint="eastAsia"/>
        </w:rPr>
      </w:pPr>
      <w:r>
        <w:rPr>
          <w:rFonts w:hint="eastAsia"/>
        </w:rPr>
        <w:t xml:space="preserve">　かといって反体系の側が、無邪気に勝どきをあげていたわけでもない。体系を否定する哲学は、自らの認識の部分性、相対性についてなんらかの弁明を試みざるを得なかった。</w:t>
      </w:r>
    </w:p>
    <w:p w:rsidR="00077DAD" w:rsidRDefault="00077DAD">
      <w:pPr>
        <w:ind w:firstLineChars="100" w:firstLine="182"/>
        <w:rPr>
          <w:rFonts w:hint="eastAsia"/>
        </w:rPr>
      </w:pPr>
      <w:r>
        <w:rPr>
          <w:rFonts w:hint="eastAsia"/>
        </w:rPr>
        <w:t>ゲオルク･ルカーチ『魂と形式』の冒頭を飾る『エッセイの本質と形式について』は</w:t>
      </w:r>
      <w:r>
        <w:rPr>
          <w:rFonts w:hint="eastAsia"/>
        </w:rPr>
        <w:t>1910</w:t>
      </w:r>
      <w:r>
        <w:rPr>
          <w:rFonts w:hint="eastAsia"/>
        </w:rPr>
        <w:t>年の日付をもつが、彼はエッセイについて、その語（エッセイ＝試み）の原義にも適った、プロセスの一部としての位置づけから、その断片的性格をもつという一般的理解を一歩越え出ようとする。「このようにみるとエッセイは、究極の目標に達するための欠くべからざる手段として、このヒエラルヒーのなかでの最後の一歩手前の段階として、是認されることになるだろう。しかしこれはエッセイのはたす営みの価値にすぎない。その存在という事実には、さらに別の独自の価値がある。つまり、前述の憧れは、諸価値の体系が見出されるならば、そこに成就を迎え、したがって止揚されるということになるかもしれない。だがこの憧れは、成就をいまやおそしと待ち受けるばかりのものではなく、それ自体の価値と実在性をそなえた魂の事実なのだ。」究極目標としての体系への憧れ、この「魂の事実」こそエッセイが書かれる動機である。憧れは、憧れの対象が成就、実現されることにより失われると考えられるのが通常である。しかし憧れ自体が形成されること、形をとることで「もはや別たれることのないもっとも固有の実体を得ることによって、憧れは永遠の価値へと救済され解放されるこの形成をもたらす」ことに、エッセイの体系に回収されない、独自の意義をルカーチは見出す</w:t>
      </w:r>
      <w:r>
        <w:rPr>
          <w:rStyle w:val="a8"/>
        </w:rPr>
        <w:footnoteReference w:id="3"/>
      </w:r>
      <w:r>
        <w:rPr>
          <w:rFonts w:hint="eastAsia"/>
        </w:rPr>
        <w:t>。</w:t>
      </w:r>
    </w:p>
    <w:p w:rsidR="00077DAD" w:rsidRDefault="00077DAD">
      <w:pPr>
        <w:ind w:firstLineChars="100" w:firstLine="182"/>
        <w:rPr>
          <w:rFonts w:hint="eastAsia"/>
        </w:rPr>
      </w:pPr>
      <w:r>
        <w:rPr>
          <w:rFonts w:hint="eastAsia"/>
        </w:rPr>
        <w:t>本稿は、初期ベンヤミンにとって《体系》が何であったか、その一端をあきらかにする試みである。特に博士論文『初期ロマン派における芸術批評の概念』で、彼がドイツロマン派に見出した《体系》の意義について考察する。</w:t>
      </w:r>
    </w:p>
    <w:p w:rsidR="00077DAD" w:rsidRDefault="00077DAD">
      <w:pPr>
        <w:ind w:firstLineChars="100" w:firstLine="182"/>
        <w:rPr>
          <w:rFonts w:hint="eastAsia"/>
        </w:rPr>
      </w:pPr>
      <w:r>
        <w:rPr>
          <w:rFonts w:hint="eastAsia"/>
        </w:rPr>
        <w:t>一般に、ベンヤミンは、先のルカーチの系譜につらなる存在として理解されている。</w:t>
      </w:r>
    </w:p>
    <w:p w:rsidR="00077DAD" w:rsidRDefault="00077DAD">
      <w:pPr>
        <w:ind w:firstLineChars="100" w:firstLine="182"/>
        <w:rPr>
          <w:rFonts w:hint="eastAsia"/>
        </w:rPr>
      </w:pPr>
      <w:r>
        <w:rPr>
          <w:rFonts w:hint="eastAsia"/>
        </w:rPr>
        <w:t>このルカーチのエッセイ論が、ルカーチ自身、後にこの立場を離れ、またその生の哲学的な理論前提が共有されなかったにせよ、ベンヤミン、アドルノとつづく、一般に反体系的思想家とみなされる理論家たちに大きな影響を与えたことは疑いないだろう。</w:t>
      </w:r>
    </w:p>
    <w:p w:rsidR="00077DAD" w:rsidRDefault="00077DAD">
      <w:pPr>
        <w:rPr>
          <w:rFonts w:hint="eastAsia"/>
        </w:rPr>
      </w:pPr>
    </w:p>
    <w:p w:rsidR="00077DAD" w:rsidRDefault="00077DAD">
      <w:pPr>
        <w:rPr>
          <w:rFonts w:eastAsia="ＭＳ Ｐゴシック" w:hint="eastAsia"/>
          <w:sz w:val="18"/>
        </w:rPr>
      </w:pPr>
      <w:r>
        <w:rPr>
          <w:rFonts w:eastAsia="ＭＳ Ｐゴシック" w:hint="eastAsia"/>
          <w:sz w:val="18"/>
        </w:rPr>
        <w:t>参考文献：</w:t>
      </w:r>
    </w:p>
    <w:p w:rsidR="00077DAD" w:rsidRDefault="00077DAD">
      <w:pPr>
        <w:tabs>
          <w:tab w:val="left" w:pos="480"/>
        </w:tabs>
        <w:ind w:left="341" w:hangingChars="210" w:hanging="341"/>
        <w:rPr>
          <w:rFonts w:hint="eastAsia"/>
          <w:sz w:val="18"/>
        </w:rPr>
      </w:pPr>
      <w:r>
        <w:rPr>
          <w:rFonts w:hint="eastAsia"/>
          <w:sz w:val="18"/>
        </w:rPr>
        <w:t>Luk</w:t>
      </w:r>
      <w:r>
        <w:rPr>
          <w:sz w:val="18"/>
        </w:rPr>
        <w:t>á</w:t>
      </w:r>
      <w:r>
        <w:rPr>
          <w:rFonts w:hint="eastAsia"/>
          <w:sz w:val="18"/>
        </w:rPr>
        <w:t>cs, Georg: Die Seel und die Formen.</w:t>
      </w:r>
      <w:r>
        <w:rPr>
          <w:rFonts w:hint="eastAsia"/>
          <w:sz w:val="18"/>
        </w:rPr>
        <w:t xml:space="preserve">　</w:t>
      </w:r>
      <w:r>
        <w:rPr>
          <w:rFonts w:hint="eastAsia"/>
          <w:sz w:val="18"/>
        </w:rPr>
        <w:t>Neuwied und Berlin(Luchterhand)</w:t>
      </w:r>
      <w:r>
        <w:rPr>
          <w:rFonts w:hint="eastAsia"/>
          <w:sz w:val="18"/>
        </w:rPr>
        <w:t xml:space="preserve">　</w:t>
      </w:r>
      <w:r>
        <w:rPr>
          <w:rFonts w:hint="eastAsia"/>
          <w:sz w:val="18"/>
        </w:rPr>
        <w:t>1971</w:t>
      </w:r>
      <w:r>
        <w:rPr>
          <w:rFonts w:hint="eastAsia"/>
          <w:sz w:val="18"/>
        </w:rPr>
        <w:t xml:space="preserve">　</w:t>
      </w:r>
      <w:r>
        <w:rPr>
          <w:rFonts w:hint="eastAsia"/>
          <w:sz w:val="18"/>
        </w:rPr>
        <w:t>(</w:t>
      </w:r>
      <w:r>
        <w:rPr>
          <w:rFonts w:hint="eastAsia"/>
          <w:sz w:val="18"/>
        </w:rPr>
        <w:t>邦訳『魂と形式』川村他訳、未来社、</w:t>
      </w:r>
      <w:r>
        <w:rPr>
          <w:rFonts w:hint="eastAsia"/>
          <w:sz w:val="18"/>
        </w:rPr>
        <w:t>1969</w:t>
      </w:r>
      <w:r>
        <w:rPr>
          <w:rFonts w:hint="eastAsia"/>
          <w:sz w:val="18"/>
        </w:rPr>
        <w:t>年</w:t>
      </w:r>
      <w:r>
        <w:rPr>
          <w:rFonts w:hint="eastAsia"/>
          <w:sz w:val="18"/>
        </w:rPr>
        <w:t>).</w:t>
      </w:r>
    </w:p>
    <w:p w:rsidR="00077DAD" w:rsidRDefault="00077DAD">
      <w:pPr>
        <w:tabs>
          <w:tab w:val="left" w:pos="480"/>
        </w:tabs>
        <w:ind w:leftChars="168" w:left="307"/>
        <w:rPr>
          <w:rFonts w:hint="eastAsia"/>
          <w:sz w:val="18"/>
        </w:rPr>
      </w:pPr>
      <w:r>
        <w:rPr>
          <w:rFonts w:hint="eastAsia"/>
          <w:sz w:val="18"/>
        </w:rPr>
        <w:t xml:space="preserve"> </w:t>
      </w:r>
      <w:r>
        <w:rPr>
          <w:rFonts w:hint="eastAsia"/>
          <w:sz w:val="18"/>
        </w:rPr>
        <w:t>＊引用箇所を［原著ページ＝邦訳ページ］の順で記す。他も同様。</w:t>
      </w:r>
    </w:p>
    <w:p w:rsidR="00077DAD" w:rsidRDefault="00077DAD">
      <w:pPr>
        <w:tabs>
          <w:tab w:val="left" w:pos="480"/>
        </w:tabs>
        <w:ind w:left="341" w:hangingChars="210" w:hanging="341"/>
        <w:rPr>
          <w:rFonts w:hint="eastAsia"/>
          <w:sz w:val="18"/>
        </w:rPr>
      </w:pPr>
      <w:r>
        <w:rPr>
          <w:rFonts w:hint="eastAsia"/>
          <w:sz w:val="18"/>
        </w:rPr>
        <w:t>Rickert, Heinrich: Vom System der Werte. In: Logos. Hrsg. v. Richart . Hrsg. v. Richart Kroner u. Georg Mehlis, Band IV. Tübingen</w:t>
      </w:r>
      <w:r>
        <w:rPr>
          <w:sz w:val="18"/>
        </w:rPr>
        <w:t>,</w:t>
      </w:r>
      <w:r>
        <w:rPr>
          <w:rFonts w:hint="eastAsia"/>
          <w:sz w:val="18"/>
        </w:rPr>
        <w:t xml:space="preserve"> 1913.</w:t>
      </w:r>
    </w:p>
    <w:p w:rsidR="00077DAD" w:rsidRDefault="00077DAD">
      <w:pPr>
        <w:tabs>
          <w:tab w:val="left" w:pos="480"/>
        </w:tabs>
        <w:ind w:left="341" w:hangingChars="210" w:hanging="341"/>
        <w:rPr>
          <w:rFonts w:hint="eastAsia"/>
          <w:sz w:val="18"/>
        </w:rPr>
      </w:pPr>
      <w:r>
        <w:rPr>
          <w:rFonts w:hint="eastAsia"/>
          <w:sz w:val="18"/>
        </w:rPr>
        <w:t>ベーコン：『ノヴム・オルガヌム』桂寿一訳、岩波文庫、</w:t>
      </w:r>
      <w:r>
        <w:rPr>
          <w:rFonts w:hint="eastAsia"/>
          <w:sz w:val="18"/>
        </w:rPr>
        <w:t>1978</w:t>
      </w:r>
      <w:r>
        <w:rPr>
          <w:rFonts w:hint="eastAsia"/>
          <w:sz w:val="18"/>
        </w:rPr>
        <w:t>年。</w:t>
      </w:r>
    </w:p>
    <w:p w:rsidR="00B6448B" w:rsidRDefault="00077DAD">
      <w:pPr>
        <w:tabs>
          <w:tab w:val="left" w:pos="480"/>
        </w:tabs>
        <w:ind w:left="341" w:hangingChars="210" w:hanging="341"/>
        <w:rPr>
          <w:rFonts w:eastAsia="ＭＳ Ｐゴシック" w:hint="eastAsia"/>
          <w:sz w:val="18"/>
        </w:rPr>
      </w:pPr>
      <w:r>
        <w:rPr>
          <w:rFonts w:hint="eastAsia"/>
          <w:sz w:val="18"/>
        </w:rPr>
        <w:t>山本信（編）：『ヤスパース　マルセル』（世界の名著</w:t>
      </w:r>
      <w:r>
        <w:rPr>
          <w:rFonts w:hint="eastAsia"/>
          <w:sz w:val="18"/>
        </w:rPr>
        <w:t>75</w:t>
      </w:r>
      <w:r>
        <w:rPr>
          <w:rFonts w:hint="eastAsia"/>
          <w:sz w:val="18"/>
        </w:rPr>
        <w:t xml:space="preserve">）中央公論社　</w:t>
      </w:r>
      <w:r>
        <w:rPr>
          <w:rFonts w:hint="eastAsia"/>
          <w:sz w:val="18"/>
        </w:rPr>
        <w:t>1980</w:t>
      </w:r>
      <w:r>
        <w:rPr>
          <w:rFonts w:hint="eastAsia"/>
          <w:sz w:val="18"/>
        </w:rPr>
        <w:t>年。</w:t>
      </w:r>
    </w:p>
    <w:sectPr w:rsidR="00B6448B">
      <w:headerReference w:type="default" r:id="rId7"/>
      <w:footerReference w:type="default" r:id="rId8"/>
      <w:pgSz w:w="11906" w:h="16838" w:code="9"/>
      <w:pgMar w:top="1701" w:right="1701" w:bottom="1134" w:left="1701" w:header="851" w:footer="992" w:gutter="0"/>
      <w:cols w:num="2" w:space="420"/>
      <w:docGrid w:type="linesAndChars" w:linePitch="333" w:charSpace="-3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6B9" w:rsidRDefault="000436B9">
      <w:r>
        <w:separator/>
      </w:r>
    </w:p>
  </w:endnote>
  <w:endnote w:type="continuationSeparator" w:id="0">
    <w:p w:rsidR="000436B9" w:rsidRDefault="0004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AD" w:rsidRDefault="00077DAD">
    <w:pPr>
      <w:pStyle w:val="a4"/>
      <w:wordWrap w:val="0"/>
      <w:jc w:val="right"/>
      <w:rPr>
        <w:rStyle w:val="a6"/>
        <w:rFonts w:hint="eastAsia"/>
      </w:rPr>
    </w:pPr>
    <w:r>
      <w:rPr>
        <w:rStyle w:val="a6"/>
        <w:rFonts w:hint="eastAsia"/>
      </w:rPr>
      <w:t xml:space="preserve">  </w:t>
    </w:r>
  </w:p>
  <w:p w:rsidR="00077DAD" w:rsidRDefault="00077DAD">
    <w:pPr>
      <w:pStyle w:val="a4"/>
      <w:wordWrap w:val="0"/>
      <w:jc w:val="center"/>
      <w:rPr>
        <w:rStyle w:val="a6"/>
        <w:rFonts w:hint="eastAsia"/>
      </w:rPr>
    </w:pPr>
    <w:r>
      <w:rPr>
        <w:rStyle w:val="a6"/>
        <w:rFonts w:hint="eastAsia"/>
      </w:rPr>
      <w:t xml:space="preserve">                                        </w:t>
    </w:r>
    <w:r>
      <w:rPr>
        <w:rStyle w:val="a6"/>
      </w:rPr>
      <w:fldChar w:fldCharType="begin"/>
    </w:r>
    <w:r>
      <w:rPr>
        <w:rStyle w:val="a6"/>
      </w:rPr>
      <w:instrText xml:space="preserve"> PAGE </w:instrText>
    </w:r>
    <w:r>
      <w:rPr>
        <w:rStyle w:val="a6"/>
      </w:rPr>
      <w:fldChar w:fldCharType="separate"/>
    </w:r>
    <w:r w:rsidR="000436B9">
      <w:rPr>
        <w:rStyle w:val="a6"/>
        <w:noProof/>
      </w:rPr>
      <w:t>1</w:t>
    </w:r>
    <w:r>
      <w:rPr>
        <w:rStyle w:val="a6"/>
      </w:rPr>
      <w:fldChar w:fldCharType="end"/>
    </w:r>
    <w:r>
      <w:rPr>
        <w:rStyle w:val="a6"/>
        <w:rFonts w:hint="eastAsia"/>
      </w:rPr>
      <w:t xml:space="preserve">　</w:t>
    </w:r>
    <w:r>
      <w:rPr>
        <w:rStyle w:val="a6"/>
        <w:rFonts w:hint="eastAsia"/>
      </w:rPr>
      <w:t xml:space="preserve">                         ISSN 1883-0803</w:t>
    </w:r>
  </w:p>
  <w:p w:rsidR="00077DAD" w:rsidRDefault="00077DAD">
    <w:pPr>
      <w:pStyle w:val="a4"/>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6B9" w:rsidRDefault="000436B9">
      <w:r>
        <w:separator/>
      </w:r>
    </w:p>
  </w:footnote>
  <w:footnote w:type="continuationSeparator" w:id="0">
    <w:p w:rsidR="000436B9" w:rsidRDefault="000436B9">
      <w:r>
        <w:continuationSeparator/>
      </w:r>
    </w:p>
  </w:footnote>
  <w:footnote w:id="1">
    <w:p w:rsidR="00077DAD" w:rsidRDefault="00077DAD">
      <w:pPr>
        <w:pStyle w:val="a7"/>
        <w:rPr>
          <w:sz w:val="18"/>
        </w:rPr>
      </w:pPr>
      <w:r>
        <w:rPr>
          <w:rStyle w:val="a8"/>
          <w:sz w:val="18"/>
        </w:rPr>
        <w:footnoteRef/>
      </w:r>
      <w:r>
        <w:rPr>
          <w:sz w:val="18"/>
        </w:rPr>
        <w:t xml:space="preserve"> </w:t>
      </w:r>
      <w:r>
        <w:rPr>
          <w:rFonts w:hint="eastAsia"/>
          <w:sz w:val="18"/>
        </w:rPr>
        <w:t>[</w:t>
      </w:r>
      <w:r>
        <w:rPr>
          <w:rFonts w:hint="eastAsia"/>
          <w:sz w:val="18"/>
        </w:rPr>
        <w:t>ベーコン</w:t>
      </w:r>
      <w:r>
        <w:rPr>
          <w:rFonts w:hint="eastAsia"/>
          <w:sz w:val="18"/>
        </w:rPr>
        <w:t xml:space="preserve"> 1978 140-1]</w:t>
      </w:r>
      <w:r>
        <w:rPr>
          <w:rFonts w:hint="eastAsia"/>
          <w:sz w:val="18"/>
        </w:rPr>
        <w:t>参照</w:t>
      </w:r>
    </w:p>
  </w:footnote>
  <w:footnote w:id="2">
    <w:p w:rsidR="00077DAD" w:rsidRDefault="00077DAD">
      <w:pPr>
        <w:pStyle w:val="a7"/>
      </w:pPr>
      <w:r>
        <w:rPr>
          <w:rStyle w:val="a8"/>
          <w:sz w:val="18"/>
        </w:rPr>
        <w:footnoteRef/>
      </w:r>
      <w:r>
        <w:t xml:space="preserve"> </w:t>
      </w:r>
      <w:r>
        <w:rPr>
          <w:rFonts w:hint="eastAsia"/>
          <w:sz w:val="18"/>
        </w:rPr>
        <w:t>この価値哲学は</w:t>
      </w:r>
      <w:r>
        <w:rPr>
          <w:rFonts w:hint="eastAsia"/>
          <w:sz w:val="18"/>
        </w:rPr>
        <w:t>21</w:t>
      </w:r>
      <w:r>
        <w:rPr>
          <w:rFonts w:hint="eastAsia"/>
          <w:sz w:val="18"/>
        </w:rPr>
        <w:t>年刊行の『哲学の一般的基礎』に若干の修正を施されたうえで取り入れられている。</w:t>
      </w:r>
    </w:p>
  </w:footnote>
  <w:footnote w:id="3">
    <w:p w:rsidR="00077DAD" w:rsidRDefault="00077DAD">
      <w:pPr>
        <w:pStyle w:val="a7"/>
        <w:rPr>
          <w:rFonts w:hint="eastAsia"/>
          <w:sz w:val="18"/>
        </w:rPr>
      </w:pPr>
      <w:r>
        <w:rPr>
          <w:rStyle w:val="a8"/>
          <w:sz w:val="18"/>
        </w:rPr>
        <w:footnoteRef/>
      </w:r>
      <w:r>
        <w:rPr>
          <w:sz w:val="18"/>
        </w:rPr>
        <w:t xml:space="preserve"> </w:t>
      </w:r>
      <w:r>
        <w:rPr>
          <w:rFonts w:hint="eastAsia"/>
          <w:sz w:val="18"/>
        </w:rPr>
        <w:t>以上</w:t>
      </w:r>
      <w:r>
        <w:rPr>
          <w:rFonts w:hint="eastAsia"/>
          <w:sz w:val="18"/>
        </w:rPr>
        <w:t>[Luk</w:t>
      </w:r>
      <w:r>
        <w:rPr>
          <w:sz w:val="18"/>
        </w:rPr>
        <w:t>á</w:t>
      </w:r>
      <w:r>
        <w:rPr>
          <w:rFonts w:hint="eastAsia"/>
          <w:sz w:val="18"/>
        </w:rPr>
        <w:t>cs 1971 ]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AD" w:rsidRDefault="00077DAD">
    <w:pPr>
      <w:pStyle w:val="a3"/>
      <w:rPr>
        <w:rFonts w:hint="eastAsia"/>
      </w:rPr>
    </w:pPr>
    <w:r>
      <w:rPr>
        <w:rFonts w:eastAsia="ＭＳ Ｐゴシック" w:hint="eastAsia"/>
        <w:sz w:val="18"/>
      </w:rPr>
      <w:t>唯物論研究ジャーナル</w:t>
    </w:r>
    <w:r>
      <w:rPr>
        <w:rFonts w:ascii="Arial" w:hAnsi="Arial" w:cs="Arial" w:hint="eastAsia"/>
        <w:sz w:val="18"/>
      </w:rPr>
      <w:t>Vol. 1</w:t>
    </w:r>
    <w:r>
      <w:rPr>
        <w:rFonts w:ascii="Arial" w:hAnsi="Arial" w:cs="Arial" w:hint="eastAsia"/>
      </w:rPr>
      <w:t xml:space="preserve"> (2008)   </w:t>
    </w:r>
    <w:r>
      <w:rPr>
        <w:rFonts w:eastAsia="ＭＳ Ｐゴシック" w:hint="eastAsia"/>
        <w:sz w:val="18"/>
      </w:rPr>
      <w:t xml:space="preserve">     </w:t>
    </w:r>
    <w:r>
      <w:rPr>
        <w:rFonts w:eastAsia="ＭＳ Ｐゴシック" w:hint="eastAsia"/>
        <w:sz w:val="18"/>
      </w:rPr>
      <w:t xml:space="preserve">　　　　　　　　　</w:t>
    </w:r>
    <w:r>
      <w:rPr>
        <w:rFonts w:eastAsia="ＭＳ Ｐゴシック" w:hint="eastAsia"/>
        <w:sz w:val="18"/>
      </w:rPr>
      <w:t xml:space="preserve">      </w:t>
    </w:r>
    <w:r>
      <w:rPr>
        <w:rFonts w:eastAsia="ＭＳ Ｐゴシック" w:hint="eastAsia"/>
        <w:sz w:val="18"/>
      </w:rPr>
      <w:t xml:space="preserve">　　　</w:t>
    </w:r>
    <w:r>
      <w:rPr>
        <w:rFonts w:eastAsia="ＭＳ Ｐゴシック" w:hint="eastAsia"/>
        <w:sz w:val="18"/>
      </w:rPr>
      <w:t xml:space="preserve">                   </w:t>
    </w:r>
    <w:r>
      <w:rPr>
        <w:rFonts w:eastAsia="ＭＳ Ｐゴシック" w:hint="eastAsia"/>
        <w:sz w:val="18"/>
      </w:rPr>
      <w:t>唯物：論文題名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defaultTabStop w:val="840"/>
  <w:drawingGridHorizontalSpacing w:val="96"/>
  <w:drawingGridVerticalSpacing w:val="333"/>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2D"/>
    <w:rsid w:val="000436B9"/>
    <w:rsid w:val="00077DAD"/>
    <w:rsid w:val="000D3219"/>
    <w:rsid w:val="002B572D"/>
    <w:rsid w:val="005C48DC"/>
    <w:rsid w:val="00990BAD"/>
    <w:rsid w:val="00B6448B"/>
    <w:rsid w:val="00DA3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allowoverlap="f" fill="f" fillcolor="white">
      <v:fill color="white" on="f"/>
      <v:stroke dashstyle="1 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Cs w:val="24"/>
    </w:rPr>
  </w:style>
  <w:style w:type="paragraph" w:styleId="1">
    <w:name w:val="heading 1"/>
    <w:basedOn w:val="a"/>
    <w:next w:val="a"/>
    <w:qFormat/>
    <w:rsid w:val="000D3219"/>
    <w:pPr>
      <w:keepNext/>
      <w:outlineLvl w:val="0"/>
    </w:pPr>
    <w:rPr>
      <w:rFonts w:ascii="Arial" w:eastAsia="ＭＳ Ｐゴシック" w:hAnsi="Arial"/>
      <w:b/>
    </w:rPr>
  </w:style>
  <w:style w:type="paragraph" w:styleId="2">
    <w:name w:val="heading 2"/>
    <w:basedOn w:val="a"/>
    <w:next w:val="a"/>
    <w:link w:val="20"/>
    <w:uiPriority w:val="9"/>
    <w:unhideWhenUsed/>
    <w:qFormat/>
    <w:rsid w:val="000D3219"/>
    <w:pPr>
      <w:keepNext/>
      <w:outlineLvl w:val="1"/>
    </w:pPr>
    <w:rPr>
      <w:rFonts w:ascii="Arial" w:eastAsia="ＭＳ Ｐ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firstLineChars="100" w:firstLine="182"/>
    </w:pPr>
    <w:rPr>
      <w:rFonts w:ascii="ＭＳ 明朝" w:hAnsi="ＭＳ Ｐゴシック"/>
    </w:rPr>
  </w:style>
  <w:style w:type="character" w:styleId="a6">
    <w:name w:val="page number"/>
    <w:basedOn w:val="a0"/>
    <w:semiHidden/>
  </w:style>
  <w:style w:type="paragraph" w:styleId="a7">
    <w:name w:val="footnote text"/>
    <w:basedOn w:val="a"/>
    <w:semiHidden/>
    <w:pPr>
      <w:snapToGrid w:val="0"/>
      <w:jc w:val="left"/>
    </w:pPr>
    <w:rPr>
      <w:szCs w:val="20"/>
    </w:rPr>
  </w:style>
  <w:style w:type="character" w:styleId="a8">
    <w:name w:val="footnote reference"/>
    <w:basedOn w:val="a0"/>
    <w:semiHidden/>
    <w:rPr>
      <w:vertAlign w:val="superscript"/>
    </w:rPr>
  </w:style>
  <w:style w:type="paragraph" w:styleId="a9">
    <w:name w:val="Body Text"/>
    <w:basedOn w:val="a"/>
    <w:semiHidden/>
  </w:style>
  <w:style w:type="character" w:customStyle="1" w:styleId="20">
    <w:name w:val="見出し 2 (文字)"/>
    <w:basedOn w:val="a0"/>
    <w:link w:val="2"/>
    <w:uiPriority w:val="9"/>
    <w:rsid w:val="000D3219"/>
    <w:rPr>
      <w:rFonts w:ascii="Arial" w:eastAsia="ＭＳ Ｐゴシック" w:hAnsi="Arial" w:cs="Times New Roman"/>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Cs w:val="24"/>
    </w:rPr>
  </w:style>
  <w:style w:type="paragraph" w:styleId="1">
    <w:name w:val="heading 1"/>
    <w:basedOn w:val="a"/>
    <w:next w:val="a"/>
    <w:qFormat/>
    <w:rsid w:val="000D3219"/>
    <w:pPr>
      <w:keepNext/>
      <w:outlineLvl w:val="0"/>
    </w:pPr>
    <w:rPr>
      <w:rFonts w:ascii="Arial" w:eastAsia="ＭＳ Ｐゴシック" w:hAnsi="Arial"/>
      <w:b/>
    </w:rPr>
  </w:style>
  <w:style w:type="paragraph" w:styleId="2">
    <w:name w:val="heading 2"/>
    <w:basedOn w:val="a"/>
    <w:next w:val="a"/>
    <w:link w:val="20"/>
    <w:uiPriority w:val="9"/>
    <w:unhideWhenUsed/>
    <w:qFormat/>
    <w:rsid w:val="000D3219"/>
    <w:pPr>
      <w:keepNext/>
      <w:outlineLvl w:val="1"/>
    </w:pPr>
    <w:rPr>
      <w:rFonts w:ascii="Arial" w:eastAsia="ＭＳ Ｐゴシック" w:hAnsi="Arial"/>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ind w:firstLineChars="100" w:firstLine="182"/>
    </w:pPr>
    <w:rPr>
      <w:rFonts w:ascii="ＭＳ 明朝" w:hAnsi="ＭＳ Ｐゴシック"/>
    </w:rPr>
  </w:style>
  <w:style w:type="character" w:styleId="a6">
    <w:name w:val="page number"/>
    <w:basedOn w:val="a0"/>
    <w:semiHidden/>
  </w:style>
  <w:style w:type="paragraph" w:styleId="a7">
    <w:name w:val="footnote text"/>
    <w:basedOn w:val="a"/>
    <w:semiHidden/>
    <w:pPr>
      <w:snapToGrid w:val="0"/>
      <w:jc w:val="left"/>
    </w:pPr>
    <w:rPr>
      <w:szCs w:val="20"/>
    </w:rPr>
  </w:style>
  <w:style w:type="character" w:styleId="a8">
    <w:name w:val="footnote reference"/>
    <w:basedOn w:val="a0"/>
    <w:semiHidden/>
    <w:rPr>
      <w:vertAlign w:val="superscript"/>
    </w:rPr>
  </w:style>
  <w:style w:type="paragraph" w:styleId="a9">
    <w:name w:val="Body Text"/>
    <w:basedOn w:val="a"/>
    <w:semiHidden/>
  </w:style>
  <w:style w:type="character" w:customStyle="1" w:styleId="20">
    <w:name w:val="見出し 2 (文字)"/>
    <w:basedOn w:val="a0"/>
    <w:link w:val="2"/>
    <w:uiPriority w:val="9"/>
    <w:rsid w:val="000D3219"/>
    <w:rPr>
      <w:rFonts w:ascii="Arial" w:eastAsia="ＭＳ Ｐゴシック" w:hAnsi="Arial" w:cs="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08&#38651;&#23376;&#12472;&#12515;&#12540;&#12490;&#12523;\&#38651;&#23376;&#12472;&#12515;&#12540;&#12490;&#12523;&#12402;&#12394;&#2441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電子ジャーナルひな形</Template>
  <TotalTime>10</TotalTime>
  <Pages>2</Pages>
  <Words>1374</Words>
  <Characters>1374</Characters>
  <Application>Microsoft Office Word</Application>
  <DocSecurity>0</DocSecurity>
  <Lines>41</Lines>
  <Paragraphs>15</Paragraphs>
  <ScaleCrop>false</ScaleCrop>
  <HeadingPairs>
    <vt:vector size="6" baseType="variant">
      <vt:variant>
        <vt:lpstr>タイトル</vt:lpstr>
      </vt:variant>
      <vt:variant>
        <vt:i4>1</vt:i4>
      </vt:variant>
      <vt:variant>
        <vt:lpstr>見出し</vt:lpstr>
      </vt:variant>
      <vt:variant>
        <vt:i4>3</vt:i4>
      </vt:variant>
      <vt:variant>
        <vt:lpstr>Title</vt:lpstr>
      </vt:variant>
      <vt:variant>
        <vt:i4>1</vt:i4>
      </vt:variant>
    </vt:vector>
  </HeadingPairs>
  <TitlesOfParts>
    <vt:vector size="5" baseType="lpstr">
      <vt:lpstr>はじめに</vt:lpstr>
      <vt:lpstr>はじめに</vt:lpstr>
      <vt:lpstr>I　文字フォントと大きさ等 </vt:lpstr>
      <vt:lpstr>III　体系と反-体系―問題の所在</vt:lpstr>
      <vt:lpstr> はじめに</vt:lpstr>
    </vt:vector>
  </TitlesOfParts>
  <Company>Hewlett-Packard Co.</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creator>C25-203</dc:creator>
  <cp:lastModifiedBy>C25-203</cp:lastModifiedBy>
  <cp:revision>3</cp:revision>
  <cp:lastPrinted>1601-01-01T00:00:00Z</cp:lastPrinted>
  <dcterms:created xsi:type="dcterms:W3CDTF">2015-07-14T03:06:00Z</dcterms:created>
  <dcterms:modified xsi:type="dcterms:W3CDTF">2015-07-14T03:16:00Z</dcterms:modified>
</cp:coreProperties>
</file>